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2E" w:rsidRPr="0093382E" w:rsidRDefault="0093382E" w:rsidP="0093382E">
      <w:pPr>
        <w:jc w:val="center"/>
        <w:rPr>
          <w:rFonts w:ascii="Times New Roman" w:eastAsia="Arial" w:hAnsi="Times New Roman" w:cs="Times New Roman"/>
          <w:b/>
          <w:u w:val="single"/>
        </w:rPr>
      </w:pPr>
      <w:r w:rsidRPr="0093382E">
        <w:rPr>
          <w:rFonts w:ascii="Times New Roman" w:eastAsia="Arial" w:hAnsi="Times New Roman" w:cs="Times New Roman"/>
          <w:b/>
          <w:u w:val="single"/>
        </w:rPr>
        <w:t>SURAT PERNYATAAN</w:t>
      </w:r>
    </w:p>
    <w:p w:rsidR="0093382E" w:rsidRPr="0093382E" w:rsidRDefault="0093382E" w:rsidP="0093382E">
      <w:pPr>
        <w:rPr>
          <w:rFonts w:ascii="Times New Roman" w:eastAsia="Arial" w:hAnsi="Times New Roman" w:cs="Times New Roman"/>
        </w:rPr>
      </w:pPr>
      <w:r w:rsidRPr="0093382E">
        <w:rPr>
          <w:rFonts w:ascii="Times New Roman" w:eastAsia="Arial" w:hAnsi="Times New Roman" w:cs="Times New Roman"/>
        </w:rPr>
        <w:t>Saya yang bertanda tangan dibawah ini 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284"/>
        <w:gridCol w:w="7654"/>
      </w:tblGrid>
      <w:tr w:rsidR="0093382E" w:rsidRPr="0093382E" w:rsidTr="00682595">
        <w:trPr>
          <w:cantSplit/>
          <w:tblHeader/>
        </w:trPr>
        <w:tc>
          <w:tcPr>
            <w:tcW w:w="1838" w:type="dxa"/>
            <w:tcBorders>
              <w:right w:val="nil"/>
            </w:tcBorders>
          </w:tcPr>
          <w:p w:rsidR="0093382E" w:rsidRPr="0093382E" w:rsidRDefault="0093382E" w:rsidP="00682595">
            <w:pP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 w:rsidRPr="0093382E">
              <w:rPr>
                <w:rFonts w:ascii="Times New Roman" w:eastAsia="Arial" w:hAnsi="Times New Roman" w:cs="Times New Roman"/>
                <w:b/>
              </w:rPr>
              <w:t xml:space="preserve">Nama                      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  <w:r w:rsidRPr="0093382E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3382E" w:rsidRPr="0093382E" w:rsidTr="00682595">
        <w:trPr>
          <w:cantSplit/>
          <w:tblHeader/>
        </w:trPr>
        <w:tc>
          <w:tcPr>
            <w:tcW w:w="1838" w:type="dxa"/>
            <w:tcBorders>
              <w:right w:val="nil"/>
            </w:tcBorders>
          </w:tcPr>
          <w:p w:rsidR="0093382E" w:rsidRPr="0093382E" w:rsidRDefault="0093382E" w:rsidP="00682595">
            <w:pP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 w:rsidRPr="0093382E">
              <w:rPr>
                <w:rFonts w:ascii="Times New Roman" w:eastAsia="Arial" w:hAnsi="Times New Roman" w:cs="Times New Roman"/>
                <w:b/>
              </w:rPr>
              <w:t xml:space="preserve">Nim                         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  <w:r w:rsidRPr="0093382E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3382E" w:rsidRPr="0093382E" w:rsidTr="00682595">
        <w:trPr>
          <w:cantSplit/>
          <w:tblHeader/>
        </w:trPr>
        <w:tc>
          <w:tcPr>
            <w:tcW w:w="1838" w:type="dxa"/>
            <w:tcBorders>
              <w:right w:val="nil"/>
            </w:tcBorders>
          </w:tcPr>
          <w:p w:rsidR="0093382E" w:rsidRPr="0093382E" w:rsidRDefault="0093382E" w:rsidP="00682595">
            <w:pP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 w:rsidRPr="0093382E">
              <w:rPr>
                <w:rFonts w:ascii="Times New Roman" w:eastAsia="Arial" w:hAnsi="Times New Roman" w:cs="Times New Roman"/>
                <w:b/>
              </w:rPr>
              <w:t xml:space="preserve">Fakultas/Prodi      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  <w:r w:rsidRPr="0093382E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3382E" w:rsidRPr="0093382E" w:rsidTr="00682595">
        <w:trPr>
          <w:cantSplit/>
          <w:tblHeader/>
        </w:trPr>
        <w:tc>
          <w:tcPr>
            <w:tcW w:w="1838" w:type="dxa"/>
            <w:tcBorders>
              <w:right w:val="nil"/>
            </w:tcBorders>
          </w:tcPr>
          <w:p w:rsidR="0093382E" w:rsidRPr="0093382E" w:rsidRDefault="0093382E" w:rsidP="00682595">
            <w:pP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 w:rsidRPr="0093382E">
              <w:rPr>
                <w:rFonts w:ascii="Times New Roman" w:eastAsia="Arial" w:hAnsi="Times New Roman" w:cs="Times New Roman"/>
                <w:b/>
              </w:rPr>
              <w:t xml:space="preserve">No.Telp/HP.WA   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  <w:r w:rsidRPr="0093382E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93382E" w:rsidRPr="0093382E" w:rsidTr="00682595">
        <w:trPr>
          <w:cantSplit/>
          <w:tblHeader/>
        </w:trPr>
        <w:tc>
          <w:tcPr>
            <w:tcW w:w="1838" w:type="dxa"/>
            <w:tcBorders>
              <w:right w:val="nil"/>
            </w:tcBorders>
          </w:tcPr>
          <w:p w:rsidR="0093382E" w:rsidRPr="0093382E" w:rsidRDefault="0093382E" w:rsidP="00682595">
            <w:pPr>
              <w:spacing w:line="276" w:lineRule="auto"/>
              <w:rPr>
                <w:rFonts w:ascii="Times New Roman" w:eastAsia="Arial" w:hAnsi="Times New Roman" w:cs="Times New Roman"/>
                <w:b/>
              </w:rPr>
            </w:pPr>
            <w:r w:rsidRPr="0093382E">
              <w:rPr>
                <w:rFonts w:ascii="Times New Roman" w:eastAsia="Arial" w:hAnsi="Times New Roman" w:cs="Times New Roman"/>
                <w:b/>
              </w:rPr>
              <w:t xml:space="preserve">Alamat                   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  <w:r w:rsidRPr="0093382E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7654" w:type="dxa"/>
            <w:tcBorders>
              <w:left w:val="nil"/>
            </w:tcBorders>
          </w:tcPr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</w:p>
          <w:p w:rsidR="0093382E" w:rsidRPr="0093382E" w:rsidRDefault="0093382E" w:rsidP="00682595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93382E" w:rsidRPr="0093382E" w:rsidRDefault="0093382E" w:rsidP="0093382E">
      <w:pPr>
        <w:spacing w:after="0"/>
        <w:rPr>
          <w:rFonts w:ascii="Times New Roman" w:eastAsia="Arial" w:hAnsi="Times New Roman" w:cs="Times New Roman"/>
        </w:rPr>
      </w:pPr>
    </w:p>
    <w:p w:rsidR="0093382E" w:rsidRPr="0093382E" w:rsidRDefault="0093382E" w:rsidP="0093382E">
      <w:pPr>
        <w:ind w:right="-188"/>
        <w:jc w:val="both"/>
        <w:rPr>
          <w:rFonts w:ascii="Times New Roman" w:eastAsia="Arial" w:hAnsi="Times New Roman" w:cs="Times New Roman"/>
        </w:rPr>
      </w:pPr>
      <w:r w:rsidRPr="0093382E">
        <w:rPr>
          <w:rFonts w:ascii="Times New Roman" w:eastAsia="Arial" w:hAnsi="Times New Roman" w:cs="Times New Roman"/>
        </w:rPr>
        <w:t xml:space="preserve">Adalah Peserta Kuliah Kerja Nyata, KKN Regional / KKN Nasional </w:t>
      </w:r>
      <w:r w:rsidR="00A74EE0">
        <w:rPr>
          <w:rFonts w:ascii="Times New Roman" w:eastAsia="Arial" w:hAnsi="Times New Roman" w:cs="Times New Roman"/>
        </w:rPr>
        <w:t xml:space="preserve">/ KKN Internasional </w:t>
      </w:r>
      <w:r w:rsidRPr="0093382E">
        <w:rPr>
          <w:rFonts w:ascii="Times New Roman" w:eastAsia="Arial" w:hAnsi="Times New Roman" w:cs="Times New Roman"/>
        </w:rPr>
        <w:t>Tahun Akademik 2023/2024 Institut Syekh Abdul Halim Hasan Binjai dengan ini menyatakan bahwa saya :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>Bersedia ditempatkan  dimanapun Lokasi KKN akan dilaksanakan dan tidak akan meminta pindah lokasi.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>Bersedia ditempatkan/tinggal/berada dan menginap di lokasi KKN yang disediakan selama KKN berlangsung</w:t>
      </w:r>
      <w:r>
        <w:rPr>
          <w:rFonts w:ascii="Times New Roman" w:eastAsia="Arial" w:hAnsi="Times New Roman" w:cs="Times New Roman"/>
          <w:color w:val="000000"/>
        </w:rPr>
        <w:t>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 xml:space="preserve">Bersedia menjaga nama  baik almamater </w:t>
      </w:r>
      <w:r>
        <w:rPr>
          <w:rFonts w:ascii="Times New Roman" w:eastAsia="Arial" w:hAnsi="Times New Roman" w:cs="Times New Roman"/>
          <w:color w:val="000000"/>
        </w:rPr>
        <w:t>Institut Syekh Abdul Halim Hasan Binjai.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>Bersedia berpakaian rapi, sopan dan islami. Aturan Pakaian bagi laki-laki wajib bercelana Panjang &amp; dilarang bercelana pendek dan bagi perempuan diwajibkan memakai jilbab selama berkegiatan di lokasi KKN.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>Bagi Perempuan dilarang menggunakan perhiasan yang mencolok dan Laki-laki dilarang menggunakan perhiasan.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>Bersedia mengikuti segala program dan kegiatan KKN mulai pembekalan sampai dengan penyusunan dan pengumpulan laporan akhir KKN serta evaluasi KKN.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>Bersedia tidak mengikuti kegiatan akademik apapun dikampus (kuliah, kuliah semester pendek (SP), praktikum, PKL, ujian Proposal Skripsi, Ujian Skripsi) dan kegiatan organisasi kemahasiswaan lainnya selama mengikuti KKN.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>Berjanji tidak akan terlibat dengan segala urusan yang berhubungan dengan masalah kriminal, pidana, perbuatan amoral, narkoba dan sejenisnya.</w:t>
      </w:r>
    </w:p>
    <w:p w:rsidR="0093382E" w:rsidRPr="0093382E" w:rsidRDefault="0093382E" w:rsidP="009338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88"/>
        <w:jc w:val="both"/>
        <w:rPr>
          <w:rFonts w:ascii="Times New Roman" w:eastAsia="Arial" w:hAnsi="Times New Roman" w:cs="Times New Roman"/>
          <w:color w:val="000000"/>
        </w:rPr>
      </w:pPr>
      <w:r w:rsidRPr="0093382E">
        <w:rPr>
          <w:rFonts w:ascii="Times New Roman" w:eastAsia="Arial" w:hAnsi="Times New Roman" w:cs="Times New Roman"/>
          <w:color w:val="000000"/>
        </w:rPr>
        <w:t xml:space="preserve">Bersedia mentaati tata tertib yang dikeluarkan oleh Panitia KKN </w:t>
      </w:r>
      <w:r>
        <w:rPr>
          <w:rFonts w:ascii="Times New Roman" w:eastAsia="Arial" w:hAnsi="Times New Roman" w:cs="Times New Roman"/>
          <w:color w:val="000000"/>
        </w:rPr>
        <w:t>Institut Syekh Abdul Halim Hasan Binjai</w:t>
      </w:r>
      <w:r w:rsidRPr="0093382E">
        <w:rPr>
          <w:rFonts w:ascii="Times New Roman" w:eastAsia="Arial" w:hAnsi="Times New Roman" w:cs="Times New Roman"/>
          <w:color w:val="000000"/>
        </w:rPr>
        <w:t xml:space="preserve"> dan panduan pelaksanaan KKN </w:t>
      </w:r>
      <w:r>
        <w:rPr>
          <w:rFonts w:ascii="Times New Roman" w:eastAsia="Arial" w:hAnsi="Times New Roman" w:cs="Times New Roman"/>
          <w:color w:val="000000"/>
        </w:rPr>
        <w:t>Institut Syekh Abdul Halim Hasan Binjai</w:t>
      </w:r>
      <w:r w:rsidRPr="0093382E">
        <w:rPr>
          <w:rFonts w:ascii="Times New Roman" w:eastAsia="Arial" w:hAnsi="Times New Roman" w:cs="Times New Roman"/>
          <w:color w:val="000000"/>
        </w:rPr>
        <w:t>, serta siap menerima sangsi apabila melanggar.</w:t>
      </w:r>
    </w:p>
    <w:p w:rsidR="0093382E" w:rsidRPr="0093382E" w:rsidRDefault="0093382E" w:rsidP="0093382E">
      <w:pPr>
        <w:rPr>
          <w:rFonts w:ascii="Times New Roman" w:eastAsia="Arial" w:hAnsi="Times New Roman" w:cs="Times New Roman"/>
        </w:rPr>
      </w:pPr>
    </w:p>
    <w:p w:rsidR="0093382E" w:rsidRPr="0093382E" w:rsidRDefault="0093382E" w:rsidP="0093382E">
      <w:pPr>
        <w:spacing w:after="0"/>
        <w:rPr>
          <w:rFonts w:ascii="Times New Roman" w:eastAsia="Arial" w:hAnsi="Times New Roman" w:cs="Times New Roman"/>
        </w:rPr>
      </w:pPr>
      <w:r w:rsidRPr="0093382E">
        <w:rPr>
          <w:rFonts w:ascii="Times New Roman" w:eastAsia="Arial" w:hAnsi="Times New Roman" w:cs="Times New Roman"/>
        </w:rPr>
        <w:t>Mengetahui ,</w:t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...........</w:t>
      </w:r>
      <w:r w:rsidRPr="0093382E">
        <w:rPr>
          <w:rFonts w:ascii="Times New Roman" w:eastAsia="Arial" w:hAnsi="Times New Roman" w:cs="Times New Roman"/>
        </w:rPr>
        <w:t xml:space="preserve">, </w:t>
      </w:r>
      <w:r>
        <w:rPr>
          <w:rFonts w:ascii="Times New Roman" w:eastAsia="Arial" w:hAnsi="Times New Roman" w:cs="Times New Roman"/>
        </w:rPr>
        <w:t>.......</w:t>
      </w:r>
      <w:r w:rsidRPr="0093382E">
        <w:rPr>
          <w:rFonts w:ascii="Times New Roman" w:eastAsia="Arial" w:hAnsi="Times New Roman" w:cs="Times New Roman"/>
        </w:rPr>
        <w:t>/</w:t>
      </w:r>
      <w:r>
        <w:rPr>
          <w:rFonts w:ascii="Times New Roman" w:eastAsia="Arial" w:hAnsi="Times New Roman" w:cs="Times New Roman"/>
        </w:rPr>
        <w:t>....................../2024</w:t>
      </w:r>
    </w:p>
    <w:p w:rsidR="0093382E" w:rsidRPr="0093382E" w:rsidRDefault="0093382E" w:rsidP="0093382E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Orang Tua / Wali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>Yang menyatakan</w:t>
      </w:r>
    </w:p>
    <w:p w:rsidR="0093382E" w:rsidRPr="0093382E" w:rsidRDefault="0093382E" w:rsidP="0093382E">
      <w:pPr>
        <w:rPr>
          <w:rFonts w:ascii="Times New Roman" w:eastAsia="Arial" w:hAnsi="Times New Roman" w:cs="Times New Roman"/>
        </w:rPr>
      </w:pP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88900</wp:posOffset>
            </wp:positionV>
            <wp:extent cx="1022516" cy="585194"/>
            <wp:effectExtent l="0" t="0" r="0" b="0"/>
            <wp:wrapNone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516" cy="585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382E" w:rsidRPr="0093382E" w:rsidRDefault="0093382E" w:rsidP="0093382E">
      <w:pPr>
        <w:rPr>
          <w:rFonts w:ascii="Times New Roman" w:eastAsia="Arial" w:hAnsi="Times New Roman" w:cs="Times New Roman"/>
        </w:rPr>
      </w:pPr>
    </w:p>
    <w:p w:rsidR="0093382E" w:rsidRPr="0093382E" w:rsidRDefault="0093382E" w:rsidP="0093382E">
      <w:pPr>
        <w:rPr>
          <w:rFonts w:ascii="Times New Roman" w:eastAsia="Arial" w:hAnsi="Times New Roman" w:cs="Times New Roman"/>
        </w:rPr>
      </w:pPr>
    </w:p>
    <w:p w:rsidR="0093382E" w:rsidRPr="0093382E" w:rsidRDefault="0093382E" w:rsidP="0093382E">
      <w:pPr>
        <w:spacing w:after="0"/>
        <w:rPr>
          <w:rFonts w:ascii="Times New Roman" w:eastAsia="Arial" w:hAnsi="Times New Roman" w:cs="Times New Roman"/>
        </w:rPr>
      </w:pPr>
      <w:r w:rsidRPr="0093382E">
        <w:rPr>
          <w:rFonts w:ascii="Times New Roman" w:eastAsia="Arial" w:hAnsi="Times New Roman" w:cs="Times New Roman"/>
        </w:rPr>
        <w:t>Nama Orangtua/Wali</w:t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  <w:t>Nama Mahasiswa</w:t>
      </w:r>
    </w:p>
    <w:p w:rsidR="0093382E" w:rsidRPr="0093382E" w:rsidRDefault="0093382E" w:rsidP="0093382E">
      <w:pPr>
        <w:spacing w:after="0"/>
        <w:rPr>
          <w:rFonts w:ascii="Times New Roman" w:eastAsia="Arial" w:hAnsi="Times New Roman" w:cs="Times New Roman"/>
        </w:rPr>
      </w:pP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</w:r>
      <w:r w:rsidRPr="0093382E">
        <w:rPr>
          <w:rFonts w:ascii="Times New Roman" w:eastAsia="Arial" w:hAnsi="Times New Roman" w:cs="Times New Roman"/>
        </w:rPr>
        <w:tab/>
        <w:t>NIM.</w:t>
      </w:r>
    </w:p>
    <w:p w:rsidR="006107F4" w:rsidRPr="0093382E" w:rsidRDefault="006107F4">
      <w:pPr>
        <w:rPr>
          <w:rFonts w:ascii="Times New Roman" w:hAnsi="Times New Roman" w:cs="Times New Roman"/>
        </w:rPr>
      </w:pPr>
    </w:p>
    <w:sectPr w:rsidR="006107F4" w:rsidRPr="0093382E" w:rsidSect="0093382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1296A"/>
    <w:multiLevelType w:val="multilevel"/>
    <w:tmpl w:val="EF3C7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93382E"/>
    <w:rsid w:val="006107F4"/>
    <w:rsid w:val="0093382E"/>
    <w:rsid w:val="00A74EE0"/>
    <w:rsid w:val="00EE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2E"/>
    <w:pPr>
      <w:spacing w:after="160" w:line="259" w:lineRule="auto"/>
    </w:pPr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</dc:creator>
  <cp:lastModifiedBy>Agatha</cp:lastModifiedBy>
  <cp:revision>2</cp:revision>
  <dcterms:created xsi:type="dcterms:W3CDTF">2024-06-24T13:25:00Z</dcterms:created>
  <dcterms:modified xsi:type="dcterms:W3CDTF">2024-06-24T14:38:00Z</dcterms:modified>
</cp:coreProperties>
</file>